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04" w:rsidRDefault="006E0BBE" w:rsidP="009A3A8F">
      <w:pPr>
        <w:spacing w:after="0"/>
        <w:contextualSpacing/>
        <w:jc w:val="center"/>
        <w:rPr>
          <w:rFonts w:ascii="Cambria" w:hAnsi="Cambria"/>
          <w:b/>
          <w:sz w:val="21"/>
          <w:szCs w:val="21"/>
          <w:u w:val="single"/>
        </w:rPr>
      </w:pPr>
      <w:r w:rsidRPr="009A3A8F">
        <w:rPr>
          <w:rFonts w:ascii="Cambria" w:hAnsi="Cambria"/>
          <w:b/>
          <w:sz w:val="21"/>
          <w:szCs w:val="21"/>
          <w:u w:val="single"/>
        </w:rPr>
        <w:t>SMERNICA</w:t>
      </w:r>
      <w:r w:rsidR="00332104" w:rsidRPr="009A3A8F">
        <w:rPr>
          <w:rFonts w:ascii="Cambria" w:hAnsi="Cambria"/>
          <w:b/>
          <w:sz w:val="21"/>
          <w:szCs w:val="21"/>
          <w:u w:val="single"/>
        </w:rPr>
        <w:t xml:space="preserve"> FOOD </w:t>
      </w:r>
      <w:r w:rsidR="00F14D45" w:rsidRPr="009A3A8F">
        <w:rPr>
          <w:rFonts w:ascii="Cambria" w:hAnsi="Cambria"/>
          <w:b/>
          <w:sz w:val="21"/>
          <w:szCs w:val="21"/>
          <w:u w:val="single"/>
        </w:rPr>
        <w:t>PRINT</w:t>
      </w:r>
      <w:r w:rsidR="00F14D45" w:rsidRPr="009A3A8F">
        <w:rPr>
          <w:rFonts w:ascii="Cambria" w:hAnsi="Cambria"/>
          <w:b/>
          <w:sz w:val="21"/>
          <w:szCs w:val="21"/>
          <w:u w:val="single"/>
          <w:vertAlign w:val="superscript"/>
        </w:rPr>
        <w:t>®</w:t>
      </w:r>
      <w:r w:rsidR="00332104" w:rsidRPr="009A3A8F">
        <w:rPr>
          <w:rFonts w:ascii="Cambria" w:hAnsi="Cambria"/>
          <w:b/>
          <w:sz w:val="21"/>
          <w:szCs w:val="21"/>
          <w:u w:val="single"/>
        </w:rPr>
        <w:t xml:space="preserve"> </w:t>
      </w:r>
      <w:r w:rsidRPr="009A3A8F">
        <w:rPr>
          <w:rFonts w:ascii="Cambria" w:hAnsi="Cambria"/>
          <w:b/>
          <w:sz w:val="21"/>
          <w:szCs w:val="21"/>
          <w:u w:val="single"/>
        </w:rPr>
        <w:t>UPRAVUJÚCA PODMIENKY NAKLADANIA S</w:t>
      </w:r>
      <w:r w:rsidR="00083A43">
        <w:rPr>
          <w:rFonts w:ascii="Cambria" w:hAnsi="Cambria"/>
          <w:b/>
          <w:sz w:val="21"/>
          <w:szCs w:val="21"/>
          <w:u w:val="single"/>
        </w:rPr>
        <w:t> </w:t>
      </w:r>
      <w:r w:rsidRPr="009A3A8F">
        <w:rPr>
          <w:rFonts w:ascii="Cambria" w:hAnsi="Cambria"/>
          <w:b/>
          <w:sz w:val="21"/>
          <w:szCs w:val="21"/>
          <w:u w:val="single"/>
        </w:rPr>
        <w:t>KRVOU</w:t>
      </w:r>
    </w:p>
    <w:p w:rsidR="00083A43" w:rsidRPr="009A3A8F" w:rsidRDefault="00083A43" w:rsidP="009A3A8F">
      <w:pPr>
        <w:spacing w:after="0"/>
        <w:contextualSpacing/>
        <w:jc w:val="center"/>
        <w:rPr>
          <w:rFonts w:ascii="Cambria" w:hAnsi="Cambria"/>
          <w:b/>
          <w:sz w:val="21"/>
          <w:szCs w:val="21"/>
          <w:u w:val="single"/>
        </w:rPr>
      </w:pPr>
    </w:p>
    <w:p w:rsidR="00642981" w:rsidRDefault="00DD1473" w:rsidP="009A3A8F">
      <w:pPr>
        <w:spacing w:after="0"/>
        <w:contextualSpacing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b/>
          <w:sz w:val="21"/>
          <w:szCs w:val="21"/>
        </w:rPr>
        <w:t xml:space="preserve">I. </w:t>
      </w:r>
      <w:r w:rsidR="006E0BBE" w:rsidRPr="009A3A8F">
        <w:rPr>
          <w:rFonts w:ascii="Cambria" w:hAnsi="Cambria"/>
          <w:b/>
          <w:sz w:val="21"/>
          <w:szCs w:val="21"/>
        </w:rPr>
        <w:t>Všeobecné zásady</w:t>
      </w:r>
    </w:p>
    <w:p w:rsidR="00083A43" w:rsidRPr="009A3A8F" w:rsidRDefault="00083A43" w:rsidP="009A3A8F">
      <w:pPr>
        <w:spacing w:after="0"/>
        <w:contextualSpacing/>
        <w:jc w:val="both"/>
        <w:rPr>
          <w:rFonts w:ascii="Cambria" w:hAnsi="Cambria"/>
          <w:b/>
          <w:sz w:val="21"/>
          <w:szCs w:val="21"/>
        </w:rPr>
      </w:pPr>
    </w:p>
    <w:p w:rsidR="00F14D45" w:rsidRPr="009A3A8F" w:rsidRDefault="00F14D45" w:rsidP="009A3A8F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Nakoľko krv predstavuje biologický materiál, na správne fungovanie testu </w:t>
      </w:r>
      <w:r w:rsidR="00501E64" w:rsidRPr="009A3A8F">
        <w:rPr>
          <w:rFonts w:ascii="Cambria" w:hAnsi="Cambria"/>
          <w:sz w:val="21"/>
          <w:szCs w:val="21"/>
        </w:rPr>
        <w:t>FOOD PRINT</w:t>
      </w:r>
      <w:r w:rsidR="00501E64" w:rsidRPr="009A3A8F">
        <w:rPr>
          <w:rFonts w:ascii="Cambria" w:hAnsi="Cambria"/>
          <w:sz w:val="21"/>
          <w:szCs w:val="21"/>
          <w:vertAlign w:val="superscript"/>
        </w:rPr>
        <w:t>®</w:t>
      </w:r>
      <w:r w:rsidRPr="009A3A8F">
        <w:rPr>
          <w:rFonts w:ascii="Cambria" w:hAnsi="Cambria"/>
          <w:sz w:val="21"/>
          <w:szCs w:val="21"/>
        </w:rPr>
        <w:t xml:space="preserve"> je nevyhnutné pridržiavať sa tejto smernice upravujúcej podmienky nakladania s krvou.</w:t>
      </w:r>
    </w:p>
    <w:p w:rsidR="00F14D45" w:rsidRPr="009A3A8F" w:rsidRDefault="00F14D45" w:rsidP="009A3A8F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Je potrebné aby odobratá krv pochádzala priamo od testovanej osoby a aby bola v súlade s touto smernicou bezodkladne </w:t>
      </w:r>
      <w:r w:rsidR="00786258" w:rsidRPr="009A3A8F">
        <w:rPr>
          <w:rFonts w:ascii="Cambria" w:hAnsi="Cambria"/>
          <w:sz w:val="21"/>
          <w:szCs w:val="21"/>
        </w:rPr>
        <w:t>odoslaná na testovanie.</w:t>
      </w:r>
    </w:p>
    <w:p w:rsidR="00786258" w:rsidRPr="009A3A8F" w:rsidRDefault="00642981" w:rsidP="009A3A8F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Na manipuláciu s krvou a jej odoslanie do testovacieho laboratória používajte výhradne zdravotnícke materiály dodané spoločnosťou SEPEA, s.r.o.</w:t>
      </w:r>
    </w:p>
    <w:p w:rsidR="00695876" w:rsidRPr="009A3A8F" w:rsidRDefault="00695876" w:rsidP="009A3A8F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95876" w:rsidRPr="009A3A8F" w:rsidRDefault="00DD1473" w:rsidP="009A3A8F">
      <w:pPr>
        <w:pStyle w:val="Odsekzoznamu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b/>
          <w:sz w:val="21"/>
          <w:szCs w:val="21"/>
        </w:rPr>
        <w:t xml:space="preserve">II. </w:t>
      </w:r>
      <w:r w:rsidR="00695876" w:rsidRPr="009A3A8F">
        <w:rPr>
          <w:rFonts w:ascii="Cambria" w:hAnsi="Cambria"/>
          <w:b/>
          <w:sz w:val="21"/>
          <w:szCs w:val="21"/>
        </w:rPr>
        <w:t>Manipulácia s</w:t>
      </w:r>
      <w:r w:rsidR="00F36342" w:rsidRPr="009A3A8F">
        <w:rPr>
          <w:rFonts w:ascii="Cambria" w:hAnsi="Cambria"/>
          <w:b/>
          <w:sz w:val="21"/>
          <w:szCs w:val="21"/>
        </w:rPr>
        <w:t> </w:t>
      </w:r>
      <w:r w:rsidR="00695876" w:rsidRPr="009A3A8F">
        <w:rPr>
          <w:rFonts w:ascii="Cambria" w:hAnsi="Cambria"/>
          <w:b/>
          <w:sz w:val="21"/>
          <w:szCs w:val="21"/>
        </w:rPr>
        <w:t>krvou</w:t>
      </w:r>
    </w:p>
    <w:p w:rsidR="00F36342" w:rsidRPr="009A3A8F" w:rsidRDefault="00F36342" w:rsidP="009A3A8F">
      <w:pPr>
        <w:pStyle w:val="Odsekzoznamu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</w:p>
    <w:p w:rsidR="00695876" w:rsidRPr="009A3A8F" w:rsidRDefault="00695876" w:rsidP="009A3A8F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Krv ako biologický materiál podlieha vplyvom času a fyzikálnych faktorov rýchlym zmenám. Pre ich minimalizovanie preto, prosíme, dodržiavajte nasledujúce lehoty na jej odoslanie v závislosti od predpokladanej vonkajšej teploty:</w:t>
      </w:r>
    </w:p>
    <w:p w:rsidR="009A3A8F" w:rsidRPr="009A3A8F" w:rsidRDefault="009A3A8F" w:rsidP="009A3A8F">
      <w:pPr>
        <w:pStyle w:val="Odsekzoznamu"/>
        <w:spacing w:after="0"/>
        <w:ind w:left="284"/>
        <w:jc w:val="both"/>
        <w:rPr>
          <w:rFonts w:ascii="Cambria" w:hAnsi="Cambria"/>
          <w:b/>
          <w:sz w:val="21"/>
          <w:szCs w:val="21"/>
        </w:rPr>
      </w:pPr>
    </w:p>
    <w:tbl>
      <w:tblPr>
        <w:tblStyle w:val="Mriekatabuky"/>
        <w:tblW w:w="0" w:type="auto"/>
        <w:tblInd w:w="1467" w:type="dxa"/>
        <w:tblLook w:val="04A0"/>
      </w:tblPr>
      <w:tblGrid>
        <w:gridCol w:w="1305"/>
        <w:gridCol w:w="1168"/>
        <w:gridCol w:w="1383"/>
        <w:gridCol w:w="1276"/>
        <w:gridCol w:w="1418"/>
      </w:tblGrid>
      <w:tr w:rsidR="009A3A8F" w:rsidRPr="009A3A8F" w:rsidTr="009A3A8F">
        <w:tc>
          <w:tcPr>
            <w:tcW w:w="1305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Vonkajšia teplota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1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3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7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14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2-8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9A3A8F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4A0528" w:rsidRPr="009E4522">
              <w:rPr>
                <w:rFonts w:ascii="Cambria" w:hAnsi="Cambria"/>
                <w:sz w:val="20"/>
                <w:szCs w:val="20"/>
              </w:rPr>
              <w:t>23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9A3A8F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r w:rsidRPr="009E4522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4A0528" w:rsidRPr="009E4522">
              <w:rPr>
                <w:rFonts w:ascii="Cambria" w:hAnsi="Cambria"/>
                <w:sz w:val="20"/>
                <w:szCs w:val="20"/>
              </w:rPr>
              <w:t>37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bookmarkEnd w:id="0"/>
      <w:tr w:rsidR="009A3A8F" w:rsidRPr="009A3A8F" w:rsidTr="009A3A8F">
        <w:tc>
          <w:tcPr>
            <w:tcW w:w="1305" w:type="dxa"/>
          </w:tcPr>
          <w:p w:rsidR="00695876" w:rsidRPr="009E4522" w:rsidRDefault="009A3A8F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4A0528" w:rsidRPr="009E4522">
              <w:rPr>
                <w:rFonts w:ascii="Cambria" w:hAnsi="Cambria"/>
                <w:sz w:val="20"/>
                <w:szCs w:val="20"/>
              </w:rPr>
              <w:t>45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- 20 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695876" w:rsidRPr="009A3A8F" w:rsidRDefault="00695876" w:rsidP="009A3A8F">
      <w:pPr>
        <w:spacing w:after="0"/>
        <w:contextualSpacing/>
        <w:jc w:val="both"/>
        <w:rPr>
          <w:rFonts w:ascii="Cambria" w:hAnsi="Cambria"/>
          <w:b/>
          <w:sz w:val="21"/>
          <w:szCs w:val="21"/>
        </w:rPr>
      </w:pPr>
    </w:p>
    <w:p w:rsidR="009A3A8F" w:rsidRPr="009A3A8F" w:rsidRDefault="009A3A8F" w:rsidP="009A3A8F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eastAsia="Times New Roman" w:hAnsi="Cambria" w:cs="Arial"/>
          <w:bCs/>
          <w:sz w:val="21"/>
          <w:szCs w:val="21"/>
          <w:lang w:eastAsia="sk-SK"/>
        </w:rPr>
        <w:t>Predávajúci nezodpovedá</w:t>
      </w:r>
      <w:r>
        <w:rPr>
          <w:rFonts w:ascii="Cambria" w:eastAsia="Times New Roman" w:hAnsi="Cambria" w:cs="Arial"/>
          <w:bCs/>
          <w:sz w:val="21"/>
          <w:szCs w:val="21"/>
          <w:lang w:eastAsia="sk-SK"/>
        </w:rPr>
        <w:t>/neručí</w:t>
      </w:r>
      <w:r w:rsidRPr="009A3A8F">
        <w:rPr>
          <w:rFonts w:ascii="Cambria" w:eastAsia="Times New Roman" w:hAnsi="Cambria" w:cs="Arial"/>
          <w:bCs/>
          <w:sz w:val="21"/>
          <w:szCs w:val="21"/>
          <w:lang w:eastAsia="sk-SK"/>
        </w:rPr>
        <w:t xml:space="preserve"> za správnosť výsledkov testovania, pokiaľ nebola vzorka zo strany Kupujúceho alebo doručovateľa správne skladovaná resp. neboli dodržané teplotné parametre uvedené v tabuľke.</w:t>
      </w:r>
    </w:p>
    <w:p w:rsidR="009A3A8F" w:rsidRPr="009A3A8F" w:rsidRDefault="009A3A8F" w:rsidP="009A3A8F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42981" w:rsidRPr="009A3A8F" w:rsidRDefault="00642981" w:rsidP="009A3A8F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42981" w:rsidRDefault="00DD1473" w:rsidP="009A3A8F">
      <w:pPr>
        <w:pStyle w:val="Odsekzoznamu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b/>
          <w:sz w:val="21"/>
          <w:szCs w:val="21"/>
        </w:rPr>
        <w:t xml:space="preserve">III. </w:t>
      </w:r>
      <w:r w:rsidR="00642981" w:rsidRPr="009A3A8F">
        <w:rPr>
          <w:rFonts w:ascii="Cambria" w:hAnsi="Cambria"/>
          <w:b/>
          <w:sz w:val="21"/>
          <w:szCs w:val="21"/>
        </w:rPr>
        <w:t>Odosielanie krvi</w:t>
      </w:r>
    </w:p>
    <w:p w:rsidR="00083A43" w:rsidRPr="009A3A8F" w:rsidRDefault="00083A43" w:rsidP="009A3A8F">
      <w:pPr>
        <w:pStyle w:val="Odsekzoznamu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</w:p>
    <w:p w:rsidR="00642981" w:rsidRPr="009A3A8F" w:rsidRDefault="00206F56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Odobratá krv určená na te</w:t>
      </w:r>
      <w:r w:rsidR="00AF4A0F" w:rsidRPr="009A3A8F">
        <w:rPr>
          <w:rFonts w:ascii="Cambria" w:hAnsi="Cambria"/>
          <w:sz w:val="21"/>
          <w:szCs w:val="21"/>
        </w:rPr>
        <w:t>stovanie sa odosiela v prepravnej nádobe (skúmavke) doručenej</w:t>
      </w:r>
      <w:r w:rsidRPr="009A3A8F">
        <w:rPr>
          <w:rFonts w:ascii="Cambria" w:hAnsi="Cambria"/>
          <w:sz w:val="21"/>
          <w:szCs w:val="21"/>
        </w:rPr>
        <w:t xml:space="preserve"> v testovacej sade</w:t>
      </w:r>
      <w:r w:rsidR="00DD1473" w:rsidRPr="009A3A8F">
        <w:rPr>
          <w:rFonts w:ascii="Cambria" w:hAnsi="Cambria"/>
          <w:sz w:val="21"/>
          <w:szCs w:val="21"/>
        </w:rPr>
        <w:t xml:space="preserve"> za dodržania doby uvedenej v čl. II. bod. 1</w:t>
      </w:r>
      <w:r w:rsidRPr="009A3A8F">
        <w:rPr>
          <w:rFonts w:ascii="Cambria" w:hAnsi="Cambria"/>
          <w:sz w:val="21"/>
          <w:szCs w:val="21"/>
        </w:rPr>
        <w:t>.</w:t>
      </w:r>
    </w:p>
    <w:p w:rsidR="009A3A8F" w:rsidRPr="009A3A8F" w:rsidRDefault="009A3A8F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Prepravnú skúmavku je potrebné starostlivo uzavrieť priložených uzáverom a skontrolovať jeho tesnosť.</w:t>
      </w:r>
    </w:p>
    <w:p w:rsidR="00206F56" w:rsidRPr="009A3A8F" w:rsidRDefault="009A3A8F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Prepravnú skúmavku je možné uložiť priamo do plast</w:t>
      </w:r>
      <w:r w:rsidR="009B0FA0">
        <w:rPr>
          <w:rFonts w:ascii="Cambria" w:hAnsi="Cambria"/>
          <w:sz w:val="21"/>
          <w:szCs w:val="21"/>
        </w:rPr>
        <w:t>ového boxu, v ktorom</w:t>
      </w:r>
      <w:r w:rsidRPr="009A3A8F">
        <w:rPr>
          <w:rFonts w:ascii="Cambria" w:hAnsi="Cambria"/>
          <w:sz w:val="21"/>
          <w:szCs w:val="21"/>
        </w:rPr>
        <w:t xml:space="preserve"> bola testovacia </w:t>
      </w:r>
      <w:proofErr w:type="spellStart"/>
      <w:r w:rsidRPr="009A3A8F">
        <w:rPr>
          <w:rFonts w:ascii="Cambria" w:hAnsi="Cambria"/>
          <w:sz w:val="21"/>
          <w:szCs w:val="21"/>
        </w:rPr>
        <w:t>sada</w:t>
      </w:r>
      <w:proofErr w:type="spellEnd"/>
      <w:r w:rsidRPr="009A3A8F">
        <w:rPr>
          <w:rFonts w:ascii="Cambria" w:hAnsi="Cambria"/>
          <w:sz w:val="21"/>
          <w:szCs w:val="21"/>
        </w:rPr>
        <w:t xml:space="preserve"> doručená kupujúcemu. Na doručovanie prepravnej skúmavky je potrebné použiť také obálky, ktoré zabránia akémukoľvek prípadnému úniku odosielanej </w:t>
      </w:r>
      <w:r w:rsidR="009B0FA0">
        <w:rPr>
          <w:rFonts w:ascii="Cambria" w:hAnsi="Cambria"/>
          <w:sz w:val="21"/>
          <w:szCs w:val="21"/>
        </w:rPr>
        <w:t xml:space="preserve">vzorky kapilárnej </w:t>
      </w:r>
      <w:r w:rsidRPr="009A3A8F">
        <w:rPr>
          <w:rFonts w:ascii="Cambria" w:hAnsi="Cambria"/>
          <w:sz w:val="21"/>
          <w:szCs w:val="21"/>
        </w:rPr>
        <w:t>krvi do vonkajšieho prostredia. Je vhodné pou</w:t>
      </w:r>
      <w:r w:rsidR="009B0FA0">
        <w:rPr>
          <w:rFonts w:ascii="Cambria" w:hAnsi="Cambria"/>
          <w:sz w:val="21"/>
          <w:szCs w:val="21"/>
        </w:rPr>
        <w:t>žiť obálky ktoré majú bublinkovú výstelku</w:t>
      </w:r>
      <w:r w:rsidRPr="009A3A8F">
        <w:rPr>
          <w:rFonts w:ascii="Cambria" w:hAnsi="Cambria"/>
          <w:sz w:val="21"/>
          <w:szCs w:val="21"/>
        </w:rPr>
        <w:t>.</w:t>
      </w:r>
    </w:p>
    <w:p w:rsidR="007F5CD8" w:rsidRDefault="00695876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Na doručovanie odobratej </w:t>
      </w:r>
      <w:r w:rsidR="009B0FA0">
        <w:rPr>
          <w:rFonts w:ascii="Cambria" w:hAnsi="Cambria"/>
          <w:sz w:val="21"/>
          <w:szCs w:val="21"/>
        </w:rPr>
        <w:t xml:space="preserve">vzorky kapilárnej </w:t>
      </w:r>
      <w:r w:rsidRPr="009A3A8F">
        <w:rPr>
          <w:rFonts w:ascii="Cambria" w:hAnsi="Cambria"/>
          <w:sz w:val="21"/>
          <w:szCs w:val="21"/>
        </w:rPr>
        <w:t xml:space="preserve">krvi, prosím, používajte ako doručovateľov Slovenskú poštu alebo </w:t>
      </w:r>
      <w:r w:rsidR="009A3A8F" w:rsidRPr="009A3A8F">
        <w:rPr>
          <w:rFonts w:ascii="Cambria" w:hAnsi="Cambria"/>
          <w:sz w:val="21"/>
          <w:szCs w:val="21"/>
        </w:rPr>
        <w:t>lebo iného doručovateľa (UPS, DHL a podobne)</w:t>
      </w:r>
      <w:r w:rsidRPr="009A3A8F">
        <w:rPr>
          <w:rFonts w:ascii="Cambria" w:hAnsi="Cambria"/>
          <w:sz w:val="21"/>
          <w:szCs w:val="21"/>
        </w:rPr>
        <w:t>.</w:t>
      </w:r>
    </w:p>
    <w:p w:rsidR="009E6948" w:rsidRDefault="009E6948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Zásielka obsah</w:t>
      </w:r>
      <w:r w:rsidR="009B0FA0">
        <w:rPr>
          <w:rFonts w:ascii="Cambria" w:hAnsi="Cambria"/>
          <w:sz w:val="21"/>
          <w:szCs w:val="21"/>
        </w:rPr>
        <w:t xml:space="preserve">ujúca prepravnú skúmavku so vzorkou by mala byť označená </w:t>
      </w:r>
      <w:proofErr w:type="spellStart"/>
      <w:r>
        <w:rPr>
          <w:rFonts w:ascii="Cambria" w:hAnsi="Cambria"/>
          <w:sz w:val="21"/>
          <w:szCs w:val="21"/>
        </w:rPr>
        <w:t>značkou</w:t>
      </w:r>
      <w:proofErr w:type="spellEnd"/>
      <w:r>
        <w:rPr>
          <w:rFonts w:ascii="Cambria" w:hAnsi="Cambria"/>
          <w:sz w:val="21"/>
          <w:szCs w:val="21"/>
        </w:rPr>
        <w:t xml:space="preserve">: </w:t>
      </w: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2351471</wp:posOffset>
            </wp:positionH>
            <wp:positionV relativeFrom="paragraph">
              <wp:posOffset>123825</wp:posOffset>
            </wp:positionV>
            <wp:extent cx="1045625" cy="1053980"/>
            <wp:effectExtent l="0" t="0" r="0" b="0"/>
            <wp:wrapNone/>
            <wp:docPr id="1" name="Picture 1" descr="../../../../../Desktop/Screen%20Shot%202015-09-03%20at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5-09-03%20at%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5" cy="105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P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</w:t>
      </w:r>
      <w:r w:rsidRPr="009E6948">
        <w:rPr>
          <w:rFonts w:ascii="Cambria" w:hAnsi="Cambria"/>
          <w:sz w:val="21"/>
          <w:szCs w:val="21"/>
        </w:rPr>
        <w:t xml:space="preserve"> na </w:t>
      </w:r>
      <w:proofErr w:type="spellStart"/>
      <w:r w:rsidRPr="009E6948">
        <w:rPr>
          <w:rFonts w:ascii="Cambria" w:hAnsi="Cambria"/>
          <w:sz w:val="21"/>
          <w:szCs w:val="21"/>
        </w:rPr>
        <w:t>vonkajšom</w:t>
      </w:r>
      <w:proofErr w:type="spellEnd"/>
      <w:r w:rsidRPr="009E6948">
        <w:rPr>
          <w:rFonts w:ascii="Cambria" w:hAnsi="Cambria"/>
          <w:sz w:val="21"/>
          <w:szCs w:val="21"/>
        </w:rPr>
        <w:t xml:space="preserve"> obale </w:t>
      </w:r>
      <w:proofErr w:type="spellStart"/>
      <w:r w:rsidRPr="009E6948">
        <w:rPr>
          <w:rFonts w:ascii="Cambria" w:hAnsi="Cambria"/>
          <w:sz w:val="21"/>
          <w:szCs w:val="21"/>
        </w:rPr>
        <w:t>musí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byť </w:t>
      </w:r>
      <w:proofErr w:type="spellStart"/>
      <w:r w:rsidRPr="009E6948">
        <w:rPr>
          <w:rFonts w:ascii="Cambria" w:hAnsi="Cambria"/>
          <w:sz w:val="21"/>
          <w:szCs w:val="21"/>
        </w:rPr>
        <w:t>aspoň</w:t>
      </w:r>
      <w:proofErr w:type="spellEnd"/>
      <w:r w:rsidRPr="009E6948">
        <w:rPr>
          <w:rFonts w:ascii="Cambria" w:hAnsi="Cambria"/>
          <w:sz w:val="21"/>
          <w:szCs w:val="21"/>
        </w:rPr>
        <w:t xml:space="preserve"> 6 mm </w:t>
      </w:r>
      <w:proofErr w:type="spellStart"/>
      <w:r w:rsidRPr="009E6948">
        <w:rPr>
          <w:rFonts w:ascii="Cambria" w:hAnsi="Cambria"/>
          <w:sz w:val="21"/>
          <w:szCs w:val="21"/>
        </w:rPr>
        <w:t>vysokými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proofErr w:type="spellStart"/>
      <w:r w:rsidRPr="009E6948">
        <w:rPr>
          <w:rFonts w:ascii="Cambria" w:hAnsi="Cambria"/>
          <w:sz w:val="21"/>
          <w:szCs w:val="21"/>
        </w:rPr>
        <w:t>písmenami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uvedené</w:t>
      </w:r>
      <w:r w:rsidRPr="009E6948">
        <w:rPr>
          <w:rFonts w:ascii="Cambria" w:hAnsi="Cambria"/>
          <w:sz w:val="21"/>
          <w:szCs w:val="21"/>
        </w:rPr>
        <w:t xml:space="preserve"> </w:t>
      </w:r>
      <w:proofErr w:type="spellStart"/>
      <w:r w:rsidRPr="009E6948">
        <w:rPr>
          <w:rFonts w:ascii="Cambria" w:hAnsi="Cambria"/>
          <w:sz w:val="21"/>
          <w:szCs w:val="21"/>
        </w:rPr>
        <w:t>prepravné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proofErr w:type="spellStart"/>
      <w:r w:rsidRPr="009E6948">
        <w:rPr>
          <w:rFonts w:ascii="Cambria" w:hAnsi="Cambria"/>
          <w:sz w:val="21"/>
          <w:szCs w:val="21"/>
        </w:rPr>
        <w:t>označenie</w:t>
      </w:r>
      <w:proofErr w:type="spellEnd"/>
      <w:r w:rsidRPr="009E6948">
        <w:rPr>
          <w:rFonts w:ascii="Cambria" w:hAnsi="Cambria"/>
          <w:sz w:val="21"/>
          <w:szCs w:val="21"/>
        </w:rPr>
        <w:t xml:space="preserve"> „</w:t>
      </w:r>
      <w:proofErr w:type="spellStart"/>
      <w:r w:rsidRPr="009E6948">
        <w:rPr>
          <w:rFonts w:ascii="Cambria" w:hAnsi="Cambria"/>
          <w:sz w:val="21"/>
          <w:szCs w:val="21"/>
        </w:rPr>
        <w:t>Biological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proofErr w:type="spellStart"/>
      <w:r w:rsidRPr="009E6948">
        <w:rPr>
          <w:rFonts w:ascii="Cambria" w:hAnsi="Cambria"/>
          <w:sz w:val="21"/>
          <w:szCs w:val="21"/>
        </w:rPr>
        <w:t>substance</w:t>
      </w:r>
      <w:proofErr w:type="spellEnd"/>
      <w:r w:rsidRPr="009E6948">
        <w:rPr>
          <w:rFonts w:ascii="Cambria" w:hAnsi="Cambria"/>
          <w:sz w:val="21"/>
          <w:szCs w:val="21"/>
        </w:rPr>
        <w:t xml:space="preserve">, </w:t>
      </w:r>
      <w:proofErr w:type="spellStart"/>
      <w:r w:rsidRPr="009E6948">
        <w:rPr>
          <w:rFonts w:ascii="Cambria" w:hAnsi="Cambria"/>
          <w:sz w:val="21"/>
          <w:szCs w:val="21"/>
        </w:rPr>
        <w:t>category</w:t>
      </w:r>
      <w:proofErr w:type="spellEnd"/>
      <w:r w:rsidRPr="009E6948">
        <w:rPr>
          <w:rFonts w:ascii="Cambria" w:hAnsi="Cambria"/>
          <w:sz w:val="21"/>
          <w:szCs w:val="21"/>
        </w:rPr>
        <w:t xml:space="preserve"> B“ (</w:t>
      </w:r>
      <w:proofErr w:type="spellStart"/>
      <w:r w:rsidRPr="009E6948">
        <w:rPr>
          <w:rFonts w:ascii="Cambria" w:hAnsi="Cambria"/>
          <w:sz w:val="21"/>
          <w:szCs w:val="21"/>
        </w:rPr>
        <w:t>Bi</w:t>
      </w:r>
      <w:r>
        <w:rPr>
          <w:rFonts w:ascii="Cambria" w:hAnsi="Cambria"/>
          <w:sz w:val="21"/>
          <w:szCs w:val="21"/>
        </w:rPr>
        <w:t>ologická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látka</w:t>
      </w:r>
      <w:proofErr w:type="spellEnd"/>
      <w:r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kategória</w:t>
      </w:r>
      <w:proofErr w:type="spellEnd"/>
      <w:r>
        <w:rPr>
          <w:rFonts w:ascii="Cambria" w:hAnsi="Cambria"/>
          <w:sz w:val="21"/>
          <w:szCs w:val="21"/>
        </w:rPr>
        <w:t xml:space="preserve"> B). O možnosti získania </w:t>
      </w:r>
      <w:r w:rsidR="009E4522">
        <w:rPr>
          <w:rFonts w:ascii="Cambria" w:hAnsi="Cambria"/>
          <w:sz w:val="21"/>
          <w:szCs w:val="21"/>
        </w:rPr>
        <w:t>obálky obsahujúcej uvedené označenia sa informujte u vami vybraného prepravcu.</w:t>
      </w: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P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695876" w:rsidRPr="009A3A8F" w:rsidRDefault="00695876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Z doručovania prostredníctvom Slovenskej pošty sú vylúčené poštové zásielky, ktorých obsah alebo úprava môže ohroziť život alebo zdravie ľudí, poškodiť životné prostredie. </w:t>
      </w:r>
      <w:r w:rsidR="009A3A8F" w:rsidRPr="009A3A8F">
        <w:rPr>
          <w:rFonts w:ascii="Cambria" w:hAnsi="Cambria"/>
          <w:sz w:val="21"/>
          <w:szCs w:val="21"/>
        </w:rPr>
        <w:t>S</w:t>
      </w:r>
      <w:r w:rsidRPr="009A3A8F">
        <w:rPr>
          <w:rFonts w:ascii="Cambria" w:hAnsi="Cambria"/>
          <w:sz w:val="21"/>
          <w:szCs w:val="21"/>
        </w:rPr>
        <w:t>poločnosť SEPEA, s.r.o nepreberá žiadnu zodpovednosť za prípadné porušenie tohto zákazu.</w:t>
      </w:r>
    </w:p>
    <w:p w:rsidR="00CA27D1" w:rsidRPr="009A3A8F" w:rsidRDefault="00CA27D1" w:rsidP="009A3A8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V zmysle zákona o poštových službách odosielateľ zodpovedá za prípadnú vzniknutú škodu zatajením vylúčenej zásielky z doručovania.</w:t>
      </w:r>
    </w:p>
    <w:p w:rsidR="0054167F" w:rsidRDefault="00695876" w:rsidP="0054167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Odosielateľ rovnako zodpovedá za dodržiavanie ostatných právnych predpisov týkajúcich sa biologických materiálov, predovšetkým ustanovení Trestného zákona a skutkovej podstaty šírenia nebezpečnej nákazlivej ľudskej choroby.</w:t>
      </w:r>
    </w:p>
    <w:p w:rsidR="0054167F" w:rsidRPr="0054167F" w:rsidRDefault="0054167F" w:rsidP="0054167F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54167F">
        <w:rPr>
          <w:rFonts w:ascii="Cambria" w:hAnsi="Cambria"/>
          <w:sz w:val="21"/>
          <w:szCs w:val="21"/>
        </w:rPr>
        <w:t xml:space="preserve">Táto smernica je platná a účinná odo </w:t>
      </w:r>
      <w:r w:rsidRPr="0054167F">
        <w:rPr>
          <w:rFonts w:ascii="Cambria" w:eastAsia="Times New Roman" w:hAnsi="Cambria" w:cs="Arial"/>
          <w:sz w:val="21"/>
          <w:szCs w:val="21"/>
          <w:lang w:eastAsia="sk-SK"/>
        </w:rPr>
        <w:t xml:space="preserve"> dňa .........2015.</w:t>
      </w:r>
    </w:p>
    <w:p w:rsidR="0054167F" w:rsidRPr="009A3A8F" w:rsidRDefault="0054167F" w:rsidP="0054167F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95876" w:rsidRPr="009A3A8F" w:rsidRDefault="00695876" w:rsidP="009A3A8F">
      <w:pPr>
        <w:pStyle w:val="Odsekzoznamu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95876" w:rsidRPr="009A3A8F" w:rsidRDefault="00695876" w:rsidP="009A3A8F">
      <w:pPr>
        <w:pStyle w:val="Odsekzoznamu"/>
        <w:spacing w:after="0"/>
        <w:ind w:left="0"/>
        <w:jc w:val="both"/>
        <w:rPr>
          <w:rFonts w:ascii="Cambria" w:hAnsi="Cambria"/>
          <w:sz w:val="21"/>
          <w:szCs w:val="21"/>
        </w:rPr>
      </w:pPr>
    </w:p>
    <w:sectPr w:rsidR="00695876" w:rsidRPr="009A3A8F" w:rsidSect="0054167F">
      <w:pgSz w:w="11906" w:h="16838"/>
      <w:pgMar w:top="619" w:right="1417" w:bottom="76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D4F57" w15:done="0"/>
  <w15:commentEx w15:paraId="07021E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E49"/>
    <w:multiLevelType w:val="hybridMultilevel"/>
    <w:tmpl w:val="59C67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93C24"/>
    <w:multiLevelType w:val="hybridMultilevel"/>
    <w:tmpl w:val="D97CF8D4"/>
    <w:lvl w:ilvl="0" w:tplc="A7200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32D"/>
    <w:multiLevelType w:val="hybridMultilevel"/>
    <w:tmpl w:val="53F09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F3DB5"/>
    <w:multiLevelType w:val="hybridMultilevel"/>
    <w:tmpl w:val="CA04B5BC"/>
    <w:lvl w:ilvl="0" w:tplc="7F22D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F34DC"/>
    <w:multiLevelType w:val="hybridMultilevel"/>
    <w:tmpl w:val="E6981318"/>
    <w:lvl w:ilvl="0" w:tplc="F48AD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C123C"/>
    <w:multiLevelType w:val="hybridMultilevel"/>
    <w:tmpl w:val="7136964C"/>
    <w:lvl w:ilvl="0" w:tplc="4B5EB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Humenik">
    <w15:presenceInfo w15:providerId="Windows Live" w15:userId="02714075b3714a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6E0BBE"/>
    <w:rsid w:val="00003426"/>
    <w:rsid w:val="00004D6C"/>
    <w:rsid w:val="0001363D"/>
    <w:rsid w:val="000137DC"/>
    <w:rsid w:val="00013CD5"/>
    <w:rsid w:val="0001464E"/>
    <w:rsid w:val="00015AD8"/>
    <w:rsid w:val="0001720C"/>
    <w:rsid w:val="00017234"/>
    <w:rsid w:val="000174E9"/>
    <w:rsid w:val="00024D5C"/>
    <w:rsid w:val="000275C2"/>
    <w:rsid w:val="000307BB"/>
    <w:rsid w:val="00030882"/>
    <w:rsid w:val="00030E08"/>
    <w:rsid w:val="00030E2B"/>
    <w:rsid w:val="00031324"/>
    <w:rsid w:val="000316AE"/>
    <w:rsid w:val="00034358"/>
    <w:rsid w:val="00037904"/>
    <w:rsid w:val="00040A9A"/>
    <w:rsid w:val="000417E6"/>
    <w:rsid w:val="00046866"/>
    <w:rsid w:val="000529D9"/>
    <w:rsid w:val="00053817"/>
    <w:rsid w:val="000553D1"/>
    <w:rsid w:val="0005572A"/>
    <w:rsid w:val="0006262E"/>
    <w:rsid w:val="00062812"/>
    <w:rsid w:val="0006769A"/>
    <w:rsid w:val="00067AB5"/>
    <w:rsid w:val="00067EA8"/>
    <w:rsid w:val="00071CC3"/>
    <w:rsid w:val="00071DC9"/>
    <w:rsid w:val="0007316B"/>
    <w:rsid w:val="0007495B"/>
    <w:rsid w:val="00074FE5"/>
    <w:rsid w:val="0007640E"/>
    <w:rsid w:val="00081023"/>
    <w:rsid w:val="00081418"/>
    <w:rsid w:val="00081F01"/>
    <w:rsid w:val="00083A43"/>
    <w:rsid w:val="00084450"/>
    <w:rsid w:val="0008468B"/>
    <w:rsid w:val="000850F8"/>
    <w:rsid w:val="000919AE"/>
    <w:rsid w:val="0009326C"/>
    <w:rsid w:val="000A2024"/>
    <w:rsid w:val="000A2079"/>
    <w:rsid w:val="000A3F8B"/>
    <w:rsid w:val="000A4345"/>
    <w:rsid w:val="000A55EB"/>
    <w:rsid w:val="000B2A98"/>
    <w:rsid w:val="000B3EFD"/>
    <w:rsid w:val="000B4AF1"/>
    <w:rsid w:val="000B5B10"/>
    <w:rsid w:val="000B5B53"/>
    <w:rsid w:val="000C08FB"/>
    <w:rsid w:val="000C2708"/>
    <w:rsid w:val="000C2BC2"/>
    <w:rsid w:val="000C7D6D"/>
    <w:rsid w:val="000D098C"/>
    <w:rsid w:val="000D11AB"/>
    <w:rsid w:val="000D2C09"/>
    <w:rsid w:val="000D5F3C"/>
    <w:rsid w:val="000D7B6E"/>
    <w:rsid w:val="000E18F7"/>
    <w:rsid w:val="000F1508"/>
    <w:rsid w:val="000F3DC1"/>
    <w:rsid w:val="000F5BAB"/>
    <w:rsid w:val="000F5E6F"/>
    <w:rsid w:val="000F73A6"/>
    <w:rsid w:val="000F7CF6"/>
    <w:rsid w:val="00100D59"/>
    <w:rsid w:val="00102C46"/>
    <w:rsid w:val="001060E1"/>
    <w:rsid w:val="0011144C"/>
    <w:rsid w:val="00112894"/>
    <w:rsid w:val="00112BAA"/>
    <w:rsid w:val="00112C82"/>
    <w:rsid w:val="0012035E"/>
    <w:rsid w:val="00123C66"/>
    <w:rsid w:val="00124E3F"/>
    <w:rsid w:val="00126D5C"/>
    <w:rsid w:val="001304E6"/>
    <w:rsid w:val="00131A59"/>
    <w:rsid w:val="001325A7"/>
    <w:rsid w:val="00141710"/>
    <w:rsid w:val="00141AF0"/>
    <w:rsid w:val="001421F6"/>
    <w:rsid w:val="001432C9"/>
    <w:rsid w:val="00150271"/>
    <w:rsid w:val="00151139"/>
    <w:rsid w:val="00160D7F"/>
    <w:rsid w:val="00161CE4"/>
    <w:rsid w:val="001638B3"/>
    <w:rsid w:val="0016418F"/>
    <w:rsid w:val="00165B2E"/>
    <w:rsid w:val="00172F2C"/>
    <w:rsid w:val="00175269"/>
    <w:rsid w:val="00177A2A"/>
    <w:rsid w:val="00180800"/>
    <w:rsid w:val="00181B45"/>
    <w:rsid w:val="00181D3F"/>
    <w:rsid w:val="001837A8"/>
    <w:rsid w:val="00183B01"/>
    <w:rsid w:val="00184945"/>
    <w:rsid w:val="00185284"/>
    <w:rsid w:val="001874B2"/>
    <w:rsid w:val="001904A9"/>
    <w:rsid w:val="00192510"/>
    <w:rsid w:val="00194174"/>
    <w:rsid w:val="0019599E"/>
    <w:rsid w:val="0019652D"/>
    <w:rsid w:val="00196EBC"/>
    <w:rsid w:val="001973EA"/>
    <w:rsid w:val="001A199F"/>
    <w:rsid w:val="001A3281"/>
    <w:rsid w:val="001A56A0"/>
    <w:rsid w:val="001A6498"/>
    <w:rsid w:val="001A68F8"/>
    <w:rsid w:val="001B1AE5"/>
    <w:rsid w:val="001B2F07"/>
    <w:rsid w:val="001B472A"/>
    <w:rsid w:val="001B6AE8"/>
    <w:rsid w:val="001B7713"/>
    <w:rsid w:val="001C2108"/>
    <w:rsid w:val="001C64DD"/>
    <w:rsid w:val="001C779B"/>
    <w:rsid w:val="001D0BE1"/>
    <w:rsid w:val="001D0EF6"/>
    <w:rsid w:val="001D1ED6"/>
    <w:rsid w:val="001D5900"/>
    <w:rsid w:val="001E209F"/>
    <w:rsid w:val="001E2AE4"/>
    <w:rsid w:val="001E3DB7"/>
    <w:rsid w:val="001F19E1"/>
    <w:rsid w:val="001F21EF"/>
    <w:rsid w:val="001F294F"/>
    <w:rsid w:val="001F2E89"/>
    <w:rsid w:val="001F34A8"/>
    <w:rsid w:val="001F683E"/>
    <w:rsid w:val="0020038F"/>
    <w:rsid w:val="00200D38"/>
    <w:rsid w:val="002012B1"/>
    <w:rsid w:val="00202D5A"/>
    <w:rsid w:val="00203E76"/>
    <w:rsid w:val="00204A59"/>
    <w:rsid w:val="00204D20"/>
    <w:rsid w:val="002054D2"/>
    <w:rsid w:val="0020589E"/>
    <w:rsid w:val="00206F56"/>
    <w:rsid w:val="00207710"/>
    <w:rsid w:val="00213998"/>
    <w:rsid w:val="002205A8"/>
    <w:rsid w:val="0022081B"/>
    <w:rsid w:val="00222862"/>
    <w:rsid w:val="002236A6"/>
    <w:rsid w:val="00226D80"/>
    <w:rsid w:val="00234680"/>
    <w:rsid w:val="00235155"/>
    <w:rsid w:val="002362EF"/>
    <w:rsid w:val="002364EA"/>
    <w:rsid w:val="00237103"/>
    <w:rsid w:val="00237954"/>
    <w:rsid w:val="00237D61"/>
    <w:rsid w:val="00237DBA"/>
    <w:rsid w:val="00240FDE"/>
    <w:rsid w:val="002428E3"/>
    <w:rsid w:val="00245592"/>
    <w:rsid w:val="00251283"/>
    <w:rsid w:val="00252457"/>
    <w:rsid w:val="00252CFD"/>
    <w:rsid w:val="0025353A"/>
    <w:rsid w:val="00256371"/>
    <w:rsid w:val="00256917"/>
    <w:rsid w:val="00260E2D"/>
    <w:rsid w:val="00263A4F"/>
    <w:rsid w:val="00265403"/>
    <w:rsid w:val="00265532"/>
    <w:rsid w:val="0027509B"/>
    <w:rsid w:val="00276FA0"/>
    <w:rsid w:val="002819A4"/>
    <w:rsid w:val="00281C5C"/>
    <w:rsid w:val="0028316F"/>
    <w:rsid w:val="002841B2"/>
    <w:rsid w:val="002927CD"/>
    <w:rsid w:val="00292CCC"/>
    <w:rsid w:val="00295A3F"/>
    <w:rsid w:val="00297DAC"/>
    <w:rsid w:val="002A2854"/>
    <w:rsid w:val="002A3F10"/>
    <w:rsid w:val="002A77FA"/>
    <w:rsid w:val="002C59FF"/>
    <w:rsid w:val="002C5DE4"/>
    <w:rsid w:val="002C7520"/>
    <w:rsid w:val="002C7C66"/>
    <w:rsid w:val="002D061D"/>
    <w:rsid w:val="002D2EF7"/>
    <w:rsid w:val="002E4503"/>
    <w:rsid w:val="002F17A0"/>
    <w:rsid w:val="002F2D54"/>
    <w:rsid w:val="002F7480"/>
    <w:rsid w:val="003020E9"/>
    <w:rsid w:val="0030542B"/>
    <w:rsid w:val="00307E10"/>
    <w:rsid w:val="0031357A"/>
    <w:rsid w:val="00317623"/>
    <w:rsid w:val="00320A52"/>
    <w:rsid w:val="0032414F"/>
    <w:rsid w:val="00332104"/>
    <w:rsid w:val="003328D1"/>
    <w:rsid w:val="00336DA6"/>
    <w:rsid w:val="003433D4"/>
    <w:rsid w:val="00343E89"/>
    <w:rsid w:val="00345070"/>
    <w:rsid w:val="0034507C"/>
    <w:rsid w:val="00345C55"/>
    <w:rsid w:val="003507A0"/>
    <w:rsid w:val="0035097D"/>
    <w:rsid w:val="00350E1A"/>
    <w:rsid w:val="00356D6A"/>
    <w:rsid w:val="00360CE6"/>
    <w:rsid w:val="003621EF"/>
    <w:rsid w:val="00370BB5"/>
    <w:rsid w:val="00372C3E"/>
    <w:rsid w:val="0037320F"/>
    <w:rsid w:val="00373AC2"/>
    <w:rsid w:val="00380E42"/>
    <w:rsid w:val="00381102"/>
    <w:rsid w:val="0038760D"/>
    <w:rsid w:val="003917C6"/>
    <w:rsid w:val="0039197D"/>
    <w:rsid w:val="003925F3"/>
    <w:rsid w:val="00395F49"/>
    <w:rsid w:val="003A15FA"/>
    <w:rsid w:val="003A295C"/>
    <w:rsid w:val="003A3457"/>
    <w:rsid w:val="003A352B"/>
    <w:rsid w:val="003A48E2"/>
    <w:rsid w:val="003B0FA6"/>
    <w:rsid w:val="003B1BD4"/>
    <w:rsid w:val="003C6246"/>
    <w:rsid w:val="003C7D65"/>
    <w:rsid w:val="003D0DB6"/>
    <w:rsid w:val="003E29F4"/>
    <w:rsid w:val="003E5524"/>
    <w:rsid w:val="003E5F4A"/>
    <w:rsid w:val="003E6DE4"/>
    <w:rsid w:val="003E7247"/>
    <w:rsid w:val="003F061B"/>
    <w:rsid w:val="003F0807"/>
    <w:rsid w:val="003F20FB"/>
    <w:rsid w:val="003F255D"/>
    <w:rsid w:val="003F3102"/>
    <w:rsid w:val="003F5EF7"/>
    <w:rsid w:val="004067AF"/>
    <w:rsid w:val="00417BDA"/>
    <w:rsid w:val="00423A0B"/>
    <w:rsid w:val="00425010"/>
    <w:rsid w:val="00436185"/>
    <w:rsid w:val="00442486"/>
    <w:rsid w:val="00443291"/>
    <w:rsid w:val="004462E5"/>
    <w:rsid w:val="00446F35"/>
    <w:rsid w:val="0045209F"/>
    <w:rsid w:val="00454541"/>
    <w:rsid w:val="004559B8"/>
    <w:rsid w:val="0046015A"/>
    <w:rsid w:val="00467021"/>
    <w:rsid w:val="0046723B"/>
    <w:rsid w:val="00473BDE"/>
    <w:rsid w:val="00475C26"/>
    <w:rsid w:val="00480A0C"/>
    <w:rsid w:val="00483677"/>
    <w:rsid w:val="00483798"/>
    <w:rsid w:val="00487121"/>
    <w:rsid w:val="00491420"/>
    <w:rsid w:val="00491D8F"/>
    <w:rsid w:val="00493F1F"/>
    <w:rsid w:val="00493F82"/>
    <w:rsid w:val="004950AD"/>
    <w:rsid w:val="00497DBD"/>
    <w:rsid w:val="004A0090"/>
    <w:rsid w:val="004A0528"/>
    <w:rsid w:val="004A2DD8"/>
    <w:rsid w:val="004A5713"/>
    <w:rsid w:val="004B4CAA"/>
    <w:rsid w:val="004B69BF"/>
    <w:rsid w:val="004B69ED"/>
    <w:rsid w:val="004C0825"/>
    <w:rsid w:val="004C1D90"/>
    <w:rsid w:val="004C2745"/>
    <w:rsid w:val="004C2B8F"/>
    <w:rsid w:val="004C3022"/>
    <w:rsid w:val="004C5126"/>
    <w:rsid w:val="004C6375"/>
    <w:rsid w:val="004C63B1"/>
    <w:rsid w:val="004C694C"/>
    <w:rsid w:val="004C7DE2"/>
    <w:rsid w:val="004D206A"/>
    <w:rsid w:val="004D2B15"/>
    <w:rsid w:val="004D65B7"/>
    <w:rsid w:val="004D775B"/>
    <w:rsid w:val="004E2E2A"/>
    <w:rsid w:val="004E32D0"/>
    <w:rsid w:val="004E367D"/>
    <w:rsid w:val="004E4B12"/>
    <w:rsid w:val="004E52DF"/>
    <w:rsid w:val="004E5CB9"/>
    <w:rsid w:val="004F13FF"/>
    <w:rsid w:val="004F141F"/>
    <w:rsid w:val="004F203B"/>
    <w:rsid w:val="004F3042"/>
    <w:rsid w:val="004F5CDD"/>
    <w:rsid w:val="004F5D03"/>
    <w:rsid w:val="00500C47"/>
    <w:rsid w:val="00501E64"/>
    <w:rsid w:val="005025C3"/>
    <w:rsid w:val="00505189"/>
    <w:rsid w:val="0050570B"/>
    <w:rsid w:val="0051371C"/>
    <w:rsid w:val="005168A6"/>
    <w:rsid w:val="00517490"/>
    <w:rsid w:val="00520C9E"/>
    <w:rsid w:val="005242AE"/>
    <w:rsid w:val="005262BD"/>
    <w:rsid w:val="00537372"/>
    <w:rsid w:val="005401FA"/>
    <w:rsid w:val="00540714"/>
    <w:rsid w:val="00540FFF"/>
    <w:rsid w:val="0054167F"/>
    <w:rsid w:val="005422E7"/>
    <w:rsid w:val="00544635"/>
    <w:rsid w:val="00544751"/>
    <w:rsid w:val="005457CF"/>
    <w:rsid w:val="00547030"/>
    <w:rsid w:val="005513B5"/>
    <w:rsid w:val="005541C1"/>
    <w:rsid w:val="005556DE"/>
    <w:rsid w:val="00565223"/>
    <w:rsid w:val="00566940"/>
    <w:rsid w:val="005671FE"/>
    <w:rsid w:val="00567F94"/>
    <w:rsid w:val="00571264"/>
    <w:rsid w:val="0057129C"/>
    <w:rsid w:val="00577069"/>
    <w:rsid w:val="0057713A"/>
    <w:rsid w:val="00584060"/>
    <w:rsid w:val="005862A0"/>
    <w:rsid w:val="0058781A"/>
    <w:rsid w:val="00594BA6"/>
    <w:rsid w:val="00594CDB"/>
    <w:rsid w:val="00596117"/>
    <w:rsid w:val="0059616B"/>
    <w:rsid w:val="005A14CF"/>
    <w:rsid w:val="005A69C9"/>
    <w:rsid w:val="005A6DEA"/>
    <w:rsid w:val="005A6E14"/>
    <w:rsid w:val="005B1EE3"/>
    <w:rsid w:val="005B2443"/>
    <w:rsid w:val="005B6AFE"/>
    <w:rsid w:val="005C046C"/>
    <w:rsid w:val="005C2502"/>
    <w:rsid w:val="005C434E"/>
    <w:rsid w:val="005D07C1"/>
    <w:rsid w:val="005D0BD6"/>
    <w:rsid w:val="005D1B03"/>
    <w:rsid w:val="005D3311"/>
    <w:rsid w:val="005D63F8"/>
    <w:rsid w:val="005E021F"/>
    <w:rsid w:val="005E04F4"/>
    <w:rsid w:val="005E2A84"/>
    <w:rsid w:val="005E54E8"/>
    <w:rsid w:val="005F0E60"/>
    <w:rsid w:val="005F475A"/>
    <w:rsid w:val="00600E67"/>
    <w:rsid w:val="0060214D"/>
    <w:rsid w:val="006078B0"/>
    <w:rsid w:val="00610D24"/>
    <w:rsid w:val="0061236B"/>
    <w:rsid w:val="006135D3"/>
    <w:rsid w:val="00614974"/>
    <w:rsid w:val="00615103"/>
    <w:rsid w:val="006216B8"/>
    <w:rsid w:val="00623C14"/>
    <w:rsid w:val="00631D31"/>
    <w:rsid w:val="00632CEB"/>
    <w:rsid w:val="00634EC1"/>
    <w:rsid w:val="00635945"/>
    <w:rsid w:val="00636CEA"/>
    <w:rsid w:val="00640DC7"/>
    <w:rsid w:val="00642981"/>
    <w:rsid w:val="00642D5F"/>
    <w:rsid w:val="006479B1"/>
    <w:rsid w:val="0065006F"/>
    <w:rsid w:val="006503E8"/>
    <w:rsid w:val="00650747"/>
    <w:rsid w:val="006510E1"/>
    <w:rsid w:val="00653D17"/>
    <w:rsid w:val="006554A2"/>
    <w:rsid w:val="006554CB"/>
    <w:rsid w:val="00665898"/>
    <w:rsid w:val="00665F2E"/>
    <w:rsid w:val="0066764A"/>
    <w:rsid w:val="00670210"/>
    <w:rsid w:val="0067359C"/>
    <w:rsid w:val="0067407C"/>
    <w:rsid w:val="00675DEA"/>
    <w:rsid w:val="006808A0"/>
    <w:rsid w:val="00682143"/>
    <w:rsid w:val="006823AE"/>
    <w:rsid w:val="006824BD"/>
    <w:rsid w:val="00682667"/>
    <w:rsid w:val="0068319E"/>
    <w:rsid w:val="00685B49"/>
    <w:rsid w:val="00690A73"/>
    <w:rsid w:val="006919A0"/>
    <w:rsid w:val="006955A2"/>
    <w:rsid w:val="00695772"/>
    <w:rsid w:val="00695876"/>
    <w:rsid w:val="00697849"/>
    <w:rsid w:val="006A0015"/>
    <w:rsid w:val="006A0602"/>
    <w:rsid w:val="006A2479"/>
    <w:rsid w:val="006A26A2"/>
    <w:rsid w:val="006A3385"/>
    <w:rsid w:val="006A64D0"/>
    <w:rsid w:val="006B01E4"/>
    <w:rsid w:val="006B086A"/>
    <w:rsid w:val="006B1061"/>
    <w:rsid w:val="006B1110"/>
    <w:rsid w:val="006B16AE"/>
    <w:rsid w:val="006B4D97"/>
    <w:rsid w:val="006B4F06"/>
    <w:rsid w:val="006B76CD"/>
    <w:rsid w:val="006C304C"/>
    <w:rsid w:val="006C311E"/>
    <w:rsid w:val="006C40EA"/>
    <w:rsid w:val="006C48DB"/>
    <w:rsid w:val="006D0F95"/>
    <w:rsid w:val="006D4AD0"/>
    <w:rsid w:val="006D6294"/>
    <w:rsid w:val="006E0BBE"/>
    <w:rsid w:val="006E2C60"/>
    <w:rsid w:val="006E2CDB"/>
    <w:rsid w:val="006E3E3D"/>
    <w:rsid w:val="006E4B59"/>
    <w:rsid w:val="006F146C"/>
    <w:rsid w:val="006F35F2"/>
    <w:rsid w:val="006F4D9C"/>
    <w:rsid w:val="006F59DF"/>
    <w:rsid w:val="006F7635"/>
    <w:rsid w:val="0070158B"/>
    <w:rsid w:val="007026A2"/>
    <w:rsid w:val="00702B2E"/>
    <w:rsid w:val="007032C5"/>
    <w:rsid w:val="00703B5C"/>
    <w:rsid w:val="00705824"/>
    <w:rsid w:val="0070634F"/>
    <w:rsid w:val="00706BC5"/>
    <w:rsid w:val="007113E5"/>
    <w:rsid w:val="007127F6"/>
    <w:rsid w:val="007131FF"/>
    <w:rsid w:val="0071344E"/>
    <w:rsid w:val="00713F83"/>
    <w:rsid w:val="007147FE"/>
    <w:rsid w:val="007166B5"/>
    <w:rsid w:val="00716C80"/>
    <w:rsid w:val="00720A66"/>
    <w:rsid w:val="0072107A"/>
    <w:rsid w:val="00721E07"/>
    <w:rsid w:val="00723AEA"/>
    <w:rsid w:val="00727F10"/>
    <w:rsid w:val="00730490"/>
    <w:rsid w:val="007327B4"/>
    <w:rsid w:val="0073281F"/>
    <w:rsid w:val="00732DE7"/>
    <w:rsid w:val="00736CF5"/>
    <w:rsid w:val="00737A4A"/>
    <w:rsid w:val="007436D8"/>
    <w:rsid w:val="00743BF5"/>
    <w:rsid w:val="00743F6D"/>
    <w:rsid w:val="00746DB6"/>
    <w:rsid w:val="00747C02"/>
    <w:rsid w:val="00751EC6"/>
    <w:rsid w:val="00755EF3"/>
    <w:rsid w:val="00765921"/>
    <w:rsid w:val="007661E3"/>
    <w:rsid w:val="00766B9D"/>
    <w:rsid w:val="00774468"/>
    <w:rsid w:val="00777B45"/>
    <w:rsid w:val="007805D7"/>
    <w:rsid w:val="00786258"/>
    <w:rsid w:val="00787ED0"/>
    <w:rsid w:val="00793536"/>
    <w:rsid w:val="00797068"/>
    <w:rsid w:val="00797B4C"/>
    <w:rsid w:val="007A2E2C"/>
    <w:rsid w:val="007A774A"/>
    <w:rsid w:val="007B058B"/>
    <w:rsid w:val="007B1231"/>
    <w:rsid w:val="007B170C"/>
    <w:rsid w:val="007B357A"/>
    <w:rsid w:val="007B688C"/>
    <w:rsid w:val="007C1AF3"/>
    <w:rsid w:val="007C2D45"/>
    <w:rsid w:val="007C5887"/>
    <w:rsid w:val="007C7968"/>
    <w:rsid w:val="007C7C70"/>
    <w:rsid w:val="007D105A"/>
    <w:rsid w:val="007D217E"/>
    <w:rsid w:val="007D2EF2"/>
    <w:rsid w:val="007D31C9"/>
    <w:rsid w:val="007D3564"/>
    <w:rsid w:val="007D45C7"/>
    <w:rsid w:val="007D7D99"/>
    <w:rsid w:val="007E1045"/>
    <w:rsid w:val="007E35E2"/>
    <w:rsid w:val="007E38E0"/>
    <w:rsid w:val="007E4221"/>
    <w:rsid w:val="007E48B2"/>
    <w:rsid w:val="007E52DC"/>
    <w:rsid w:val="007E5986"/>
    <w:rsid w:val="007E5C9F"/>
    <w:rsid w:val="007F12A8"/>
    <w:rsid w:val="007F36FF"/>
    <w:rsid w:val="007F37EA"/>
    <w:rsid w:val="007F3EB5"/>
    <w:rsid w:val="007F5CD8"/>
    <w:rsid w:val="007F6EDC"/>
    <w:rsid w:val="00800E42"/>
    <w:rsid w:val="0080197F"/>
    <w:rsid w:val="0080496F"/>
    <w:rsid w:val="00804F27"/>
    <w:rsid w:val="008111A8"/>
    <w:rsid w:val="00812BE1"/>
    <w:rsid w:val="008133E1"/>
    <w:rsid w:val="008173B1"/>
    <w:rsid w:val="00817F53"/>
    <w:rsid w:val="00821FDD"/>
    <w:rsid w:val="00822EA8"/>
    <w:rsid w:val="00826491"/>
    <w:rsid w:val="0082665E"/>
    <w:rsid w:val="00826853"/>
    <w:rsid w:val="0083147C"/>
    <w:rsid w:val="008377BD"/>
    <w:rsid w:val="00837B89"/>
    <w:rsid w:val="00843453"/>
    <w:rsid w:val="00844EEB"/>
    <w:rsid w:val="00846B9C"/>
    <w:rsid w:val="00846F0F"/>
    <w:rsid w:val="008560B3"/>
    <w:rsid w:val="00861A85"/>
    <w:rsid w:val="00861F20"/>
    <w:rsid w:val="00865BB6"/>
    <w:rsid w:val="00865BBE"/>
    <w:rsid w:val="008670B9"/>
    <w:rsid w:val="008721F3"/>
    <w:rsid w:val="00876596"/>
    <w:rsid w:val="00881349"/>
    <w:rsid w:val="008831C0"/>
    <w:rsid w:val="00884CCE"/>
    <w:rsid w:val="008867F8"/>
    <w:rsid w:val="0089026D"/>
    <w:rsid w:val="00897888"/>
    <w:rsid w:val="008A0914"/>
    <w:rsid w:val="008A1B02"/>
    <w:rsid w:val="008A2C23"/>
    <w:rsid w:val="008A2F93"/>
    <w:rsid w:val="008A57F0"/>
    <w:rsid w:val="008B2CCD"/>
    <w:rsid w:val="008B3541"/>
    <w:rsid w:val="008B7DF0"/>
    <w:rsid w:val="008C1162"/>
    <w:rsid w:val="008C4356"/>
    <w:rsid w:val="008C4E11"/>
    <w:rsid w:val="008C51E1"/>
    <w:rsid w:val="008C63B7"/>
    <w:rsid w:val="008C70A1"/>
    <w:rsid w:val="008C7172"/>
    <w:rsid w:val="008C71C6"/>
    <w:rsid w:val="008D0E7C"/>
    <w:rsid w:val="008D1302"/>
    <w:rsid w:val="008D4D90"/>
    <w:rsid w:val="008D7F9C"/>
    <w:rsid w:val="008E147B"/>
    <w:rsid w:val="008E523C"/>
    <w:rsid w:val="008E7042"/>
    <w:rsid w:val="008F172C"/>
    <w:rsid w:val="008F2A6B"/>
    <w:rsid w:val="008F4B17"/>
    <w:rsid w:val="00900AAE"/>
    <w:rsid w:val="009078DB"/>
    <w:rsid w:val="00910D6F"/>
    <w:rsid w:val="00911237"/>
    <w:rsid w:val="00913562"/>
    <w:rsid w:val="009165EC"/>
    <w:rsid w:val="009249F2"/>
    <w:rsid w:val="00926718"/>
    <w:rsid w:val="00931A77"/>
    <w:rsid w:val="009370CD"/>
    <w:rsid w:val="00942B07"/>
    <w:rsid w:val="00944D80"/>
    <w:rsid w:val="009528D6"/>
    <w:rsid w:val="00967466"/>
    <w:rsid w:val="00976F6A"/>
    <w:rsid w:val="00980324"/>
    <w:rsid w:val="00980A12"/>
    <w:rsid w:val="00981D85"/>
    <w:rsid w:val="009829B5"/>
    <w:rsid w:val="009835F7"/>
    <w:rsid w:val="009848BD"/>
    <w:rsid w:val="00984B5A"/>
    <w:rsid w:val="0098514B"/>
    <w:rsid w:val="009851A3"/>
    <w:rsid w:val="009856BF"/>
    <w:rsid w:val="00990A84"/>
    <w:rsid w:val="00992322"/>
    <w:rsid w:val="0099489C"/>
    <w:rsid w:val="009958B9"/>
    <w:rsid w:val="00995D41"/>
    <w:rsid w:val="00996A1B"/>
    <w:rsid w:val="00997B7F"/>
    <w:rsid w:val="009A0CA7"/>
    <w:rsid w:val="009A3A8F"/>
    <w:rsid w:val="009A4213"/>
    <w:rsid w:val="009A60AD"/>
    <w:rsid w:val="009B0FA0"/>
    <w:rsid w:val="009B1A09"/>
    <w:rsid w:val="009B481A"/>
    <w:rsid w:val="009B73CC"/>
    <w:rsid w:val="009B75A8"/>
    <w:rsid w:val="009B768D"/>
    <w:rsid w:val="009C0EB6"/>
    <w:rsid w:val="009C2C51"/>
    <w:rsid w:val="009C464E"/>
    <w:rsid w:val="009C6690"/>
    <w:rsid w:val="009C75C9"/>
    <w:rsid w:val="009D3567"/>
    <w:rsid w:val="009D5F62"/>
    <w:rsid w:val="009D7A7E"/>
    <w:rsid w:val="009E21B8"/>
    <w:rsid w:val="009E34BE"/>
    <w:rsid w:val="009E4522"/>
    <w:rsid w:val="009E5A17"/>
    <w:rsid w:val="009E6948"/>
    <w:rsid w:val="009F0472"/>
    <w:rsid w:val="009F0A1A"/>
    <w:rsid w:val="009F5318"/>
    <w:rsid w:val="00A0098D"/>
    <w:rsid w:val="00A01935"/>
    <w:rsid w:val="00A024AE"/>
    <w:rsid w:val="00A036DB"/>
    <w:rsid w:val="00A03943"/>
    <w:rsid w:val="00A03AB5"/>
    <w:rsid w:val="00A03B2B"/>
    <w:rsid w:val="00A03BC0"/>
    <w:rsid w:val="00A046BF"/>
    <w:rsid w:val="00A05639"/>
    <w:rsid w:val="00A056A6"/>
    <w:rsid w:val="00A06206"/>
    <w:rsid w:val="00A0770A"/>
    <w:rsid w:val="00A1275C"/>
    <w:rsid w:val="00A16467"/>
    <w:rsid w:val="00A166F8"/>
    <w:rsid w:val="00A220BB"/>
    <w:rsid w:val="00A2324A"/>
    <w:rsid w:val="00A313E3"/>
    <w:rsid w:val="00A354DC"/>
    <w:rsid w:val="00A43BB3"/>
    <w:rsid w:val="00A4463A"/>
    <w:rsid w:val="00A45114"/>
    <w:rsid w:val="00A46527"/>
    <w:rsid w:val="00A47D14"/>
    <w:rsid w:val="00A50459"/>
    <w:rsid w:val="00A50E6F"/>
    <w:rsid w:val="00A52433"/>
    <w:rsid w:val="00A53C6A"/>
    <w:rsid w:val="00A54DFF"/>
    <w:rsid w:val="00A55116"/>
    <w:rsid w:val="00A6470B"/>
    <w:rsid w:val="00A65E72"/>
    <w:rsid w:val="00A67332"/>
    <w:rsid w:val="00A72C23"/>
    <w:rsid w:val="00A76A4C"/>
    <w:rsid w:val="00A804EE"/>
    <w:rsid w:val="00A813D5"/>
    <w:rsid w:val="00A83014"/>
    <w:rsid w:val="00A8315A"/>
    <w:rsid w:val="00A84334"/>
    <w:rsid w:val="00A92552"/>
    <w:rsid w:val="00A93880"/>
    <w:rsid w:val="00A940BD"/>
    <w:rsid w:val="00A94C87"/>
    <w:rsid w:val="00A95A40"/>
    <w:rsid w:val="00AA275D"/>
    <w:rsid w:val="00AA4988"/>
    <w:rsid w:val="00AA4BAB"/>
    <w:rsid w:val="00AA5810"/>
    <w:rsid w:val="00AA752D"/>
    <w:rsid w:val="00AB2778"/>
    <w:rsid w:val="00AB2A96"/>
    <w:rsid w:val="00AC09E3"/>
    <w:rsid w:val="00AC130A"/>
    <w:rsid w:val="00AC13CE"/>
    <w:rsid w:val="00AC295C"/>
    <w:rsid w:val="00AC6305"/>
    <w:rsid w:val="00AC70CB"/>
    <w:rsid w:val="00AC78BF"/>
    <w:rsid w:val="00AD0ADA"/>
    <w:rsid w:val="00AD3524"/>
    <w:rsid w:val="00AD38B3"/>
    <w:rsid w:val="00AD3F07"/>
    <w:rsid w:val="00AD4440"/>
    <w:rsid w:val="00AD508D"/>
    <w:rsid w:val="00AD5DC1"/>
    <w:rsid w:val="00AD69FE"/>
    <w:rsid w:val="00AE5053"/>
    <w:rsid w:val="00AF008B"/>
    <w:rsid w:val="00AF4A0F"/>
    <w:rsid w:val="00AF774C"/>
    <w:rsid w:val="00B02D21"/>
    <w:rsid w:val="00B1285E"/>
    <w:rsid w:val="00B13D8A"/>
    <w:rsid w:val="00B13EBF"/>
    <w:rsid w:val="00B205C0"/>
    <w:rsid w:val="00B20879"/>
    <w:rsid w:val="00B252B0"/>
    <w:rsid w:val="00B342C6"/>
    <w:rsid w:val="00B3535A"/>
    <w:rsid w:val="00B358D6"/>
    <w:rsid w:val="00B43BCA"/>
    <w:rsid w:val="00B45FFE"/>
    <w:rsid w:val="00B46A15"/>
    <w:rsid w:val="00B46FDD"/>
    <w:rsid w:val="00B50667"/>
    <w:rsid w:val="00B5163F"/>
    <w:rsid w:val="00B54D8C"/>
    <w:rsid w:val="00B550BD"/>
    <w:rsid w:val="00B56E62"/>
    <w:rsid w:val="00B60EE5"/>
    <w:rsid w:val="00B61D59"/>
    <w:rsid w:val="00B651AE"/>
    <w:rsid w:val="00B65372"/>
    <w:rsid w:val="00B72D41"/>
    <w:rsid w:val="00B7475B"/>
    <w:rsid w:val="00B763DA"/>
    <w:rsid w:val="00B826E3"/>
    <w:rsid w:val="00B82DC7"/>
    <w:rsid w:val="00B83750"/>
    <w:rsid w:val="00B8388D"/>
    <w:rsid w:val="00B84684"/>
    <w:rsid w:val="00B84A4F"/>
    <w:rsid w:val="00B84B46"/>
    <w:rsid w:val="00B86FB7"/>
    <w:rsid w:val="00B9043A"/>
    <w:rsid w:val="00B91D54"/>
    <w:rsid w:val="00B935F2"/>
    <w:rsid w:val="00B97A3B"/>
    <w:rsid w:val="00BA0277"/>
    <w:rsid w:val="00BA1081"/>
    <w:rsid w:val="00BA532E"/>
    <w:rsid w:val="00BB56D9"/>
    <w:rsid w:val="00BC086C"/>
    <w:rsid w:val="00BC0F4F"/>
    <w:rsid w:val="00BC12AB"/>
    <w:rsid w:val="00BC2763"/>
    <w:rsid w:val="00BC2A1A"/>
    <w:rsid w:val="00BC477D"/>
    <w:rsid w:val="00BC5BE9"/>
    <w:rsid w:val="00BD3CAA"/>
    <w:rsid w:val="00BE2F53"/>
    <w:rsid w:val="00BE4DC8"/>
    <w:rsid w:val="00BE61C3"/>
    <w:rsid w:val="00BF2F91"/>
    <w:rsid w:val="00BF59CB"/>
    <w:rsid w:val="00BF657A"/>
    <w:rsid w:val="00BF794C"/>
    <w:rsid w:val="00C00A11"/>
    <w:rsid w:val="00C04D07"/>
    <w:rsid w:val="00C0651E"/>
    <w:rsid w:val="00C11181"/>
    <w:rsid w:val="00C1423D"/>
    <w:rsid w:val="00C23743"/>
    <w:rsid w:val="00C23A85"/>
    <w:rsid w:val="00C23F46"/>
    <w:rsid w:val="00C30B6B"/>
    <w:rsid w:val="00C41DE3"/>
    <w:rsid w:val="00C42546"/>
    <w:rsid w:val="00C4430A"/>
    <w:rsid w:val="00C5079A"/>
    <w:rsid w:val="00C52911"/>
    <w:rsid w:val="00C55187"/>
    <w:rsid w:val="00C556AA"/>
    <w:rsid w:val="00C55E0F"/>
    <w:rsid w:val="00C66FFC"/>
    <w:rsid w:val="00C7049E"/>
    <w:rsid w:val="00C71FDF"/>
    <w:rsid w:val="00C738BC"/>
    <w:rsid w:val="00C75A4B"/>
    <w:rsid w:val="00C75C10"/>
    <w:rsid w:val="00C769E1"/>
    <w:rsid w:val="00C808B9"/>
    <w:rsid w:val="00C81184"/>
    <w:rsid w:val="00C81867"/>
    <w:rsid w:val="00C92385"/>
    <w:rsid w:val="00C9491F"/>
    <w:rsid w:val="00C94B74"/>
    <w:rsid w:val="00C950D3"/>
    <w:rsid w:val="00C96968"/>
    <w:rsid w:val="00C96FAF"/>
    <w:rsid w:val="00C9724F"/>
    <w:rsid w:val="00CA27D1"/>
    <w:rsid w:val="00CA2C5D"/>
    <w:rsid w:val="00CA3AF6"/>
    <w:rsid w:val="00CA49AB"/>
    <w:rsid w:val="00CA539A"/>
    <w:rsid w:val="00CA6005"/>
    <w:rsid w:val="00CA6435"/>
    <w:rsid w:val="00CB07DD"/>
    <w:rsid w:val="00CC3823"/>
    <w:rsid w:val="00CD1091"/>
    <w:rsid w:val="00CD14CD"/>
    <w:rsid w:val="00CD1656"/>
    <w:rsid w:val="00CD4AF3"/>
    <w:rsid w:val="00CD4BB5"/>
    <w:rsid w:val="00CD5041"/>
    <w:rsid w:val="00CD57D2"/>
    <w:rsid w:val="00CE013D"/>
    <w:rsid w:val="00CE2277"/>
    <w:rsid w:val="00CE3EBA"/>
    <w:rsid w:val="00CE4E65"/>
    <w:rsid w:val="00CE5B77"/>
    <w:rsid w:val="00CF148F"/>
    <w:rsid w:val="00CF460C"/>
    <w:rsid w:val="00CF5655"/>
    <w:rsid w:val="00CF783A"/>
    <w:rsid w:val="00D1490D"/>
    <w:rsid w:val="00D15450"/>
    <w:rsid w:val="00D1770E"/>
    <w:rsid w:val="00D20140"/>
    <w:rsid w:val="00D21779"/>
    <w:rsid w:val="00D21A24"/>
    <w:rsid w:val="00D231FE"/>
    <w:rsid w:val="00D24C8A"/>
    <w:rsid w:val="00D26A14"/>
    <w:rsid w:val="00D33474"/>
    <w:rsid w:val="00D3531C"/>
    <w:rsid w:val="00D36CCF"/>
    <w:rsid w:val="00D37A65"/>
    <w:rsid w:val="00D42075"/>
    <w:rsid w:val="00D44E9D"/>
    <w:rsid w:val="00D507CE"/>
    <w:rsid w:val="00D51E9D"/>
    <w:rsid w:val="00D55767"/>
    <w:rsid w:val="00D5578C"/>
    <w:rsid w:val="00D61CBB"/>
    <w:rsid w:val="00D63623"/>
    <w:rsid w:val="00D63BCE"/>
    <w:rsid w:val="00D6484F"/>
    <w:rsid w:val="00D65091"/>
    <w:rsid w:val="00D65F84"/>
    <w:rsid w:val="00D67241"/>
    <w:rsid w:val="00D72D8B"/>
    <w:rsid w:val="00D7705F"/>
    <w:rsid w:val="00D82416"/>
    <w:rsid w:val="00D83464"/>
    <w:rsid w:val="00D8375B"/>
    <w:rsid w:val="00D87866"/>
    <w:rsid w:val="00D87F74"/>
    <w:rsid w:val="00D93421"/>
    <w:rsid w:val="00D958BE"/>
    <w:rsid w:val="00DA043E"/>
    <w:rsid w:val="00DA2280"/>
    <w:rsid w:val="00DB1B40"/>
    <w:rsid w:val="00DB478F"/>
    <w:rsid w:val="00DB6B78"/>
    <w:rsid w:val="00DC082C"/>
    <w:rsid w:val="00DC0EB7"/>
    <w:rsid w:val="00DC0EC3"/>
    <w:rsid w:val="00DC12E3"/>
    <w:rsid w:val="00DC15BE"/>
    <w:rsid w:val="00DC3D3C"/>
    <w:rsid w:val="00DC4E51"/>
    <w:rsid w:val="00DC7219"/>
    <w:rsid w:val="00DC749A"/>
    <w:rsid w:val="00DD1473"/>
    <w:rsid w:val="00DD1A17"/>
    <w:rsid w:val="00DD292A"/>
    <w:rsid w:val="00DD31F5"/>
    <w:rsid w:val="00DD5EDD"/>
    <w:rsid w:val="00DE0E64"/>
    <w:rsid w:val="00DE2D89"/>
    <w:rsid w:val="00DE36B0"/>
    <w:rsid w:val="00DE419F"/>
    <w:rsid w:val="00DE627D"/>
    <w:rsid w:val="00DE79B2"/>
    <w:rsid w:val="00DF421C"/>
    <w:rsid w:val="00DF5640"/>
    <w:rsid w:val="00DF6C8B"/>
    <w:rsid w:val="00DF73AA"/>
    <w:rsid w:val="00DF76AD"/>
    <w:rsid w:val="00E02A8A"/>
    <w:rsid w:val="00E04978"/>
    <w:rsid w:val="00E0521B"/>
    <w:rsid w:val="00E06498"/>
    <w:rsid w:val="00E064C1"/>
    <w:rsid w:val="00E12E18"/>
    <w:rsid w:val="00E1511C"/>
    <w:rsid w:val="00E21C17"/>
    <w:rsid w:val="00E251C1"/>
    <w:rsid w:val="00E26AFE"/>
    <w:rsid w:val="00E453A4"/>
    <w:rsid w:val="00E52FA8"/>
    <w:rsid w:val="00E54BF8"/>
    <w:rsid w:val="00E56C7A"/>
    <w:rsid w:val="00E573DA"/>
    <w:rsid w:val="00E64A2A"/>
    <w:rsid w:val="00E667CB"/>
    <w:rsid w:val="00E67CEB"/>
    <w:rsid w:val="00E72117"/>
    <w:rsid w:val="00E72D3A"/>
    <w:rsid w:val="00E82C9B"/>
    <w:rsid w:val="00E836E1"/>
    <w:rsid w:val="00E837CE"/>
    <w:rsid w:val="00E84896"/>
    <w:rsid w:val="00E930EB"/>
    <w:rsid w:val="00E93F53"/>
    <w:rsid w:val="00E97D0D"/>
    <w:rsid w:val="00E97E1C"/>
    <w:rsid w:val="00EA0ECF"/>
    <w:rsid w:val="00EA3916"/>
    <w:rsid w:val="00EA64AD"/>
    <w:rsid w:val="00EA7EA2"/>
    <w:rsid w:val="00EB1392"/>
    <w:rsid w:val="00EB553A"/>
    <w:rsid w:val="00EB664F"/>
    <w:rsid w:val="00EB66AB"/>
    <w:rsid w:val="00EB7ADB"/>
    <w:rsid w:val="00EC556B"/>
    <w:rsid w:val="00EC625E"/>
    <w:rsid w:val="00ED13CA"/>
    <w:rsid w:val="00EE02E7"/>
    <w:rsid w:val="00EE3091"/>
    <w:rsid w:val="00EE472B"/>
    <w:rsid w:val="00EE79C2"/>
    <w:rsid w:val="00EE7CB1"/>
    <w:rsid w:val="00EF3484"/>
    <w:rsid w:val="00F014F9"/>
    <w:rsid w:val="00F0202D"/>
    <w:rsid w:val="00F05723"/>
    <w:rsid w:val="00F11EDA"/>
    <w:rsid w:val="00F13EE8"/>
    <w:rsid w:val="00F14D45"/>
    <w:rsid w:val="00F15A78"/>
    <w:rsid w:val="00F16F44"/>
    <w:rsid w:val="00F20315"/>
    <w:rsid w:val="00F21EBF"/>
    <w:rsid w:val="00F2389F"/>
    <w:rsid w:val="00F2399A"/>
    <w:rsid w:val="00F2414C"/>
    <w:rsid w:val="00F267AA"/>
    <w:rsid w:val="00F3065B"/>
    <w:rsid w:val="00F3113D"/>
    <w:rsid w:val="00F3306D"/>
    <w:rsid w:val="00F35B9B"/>
    <w:rsid w:val="00F36342"/>
    <w:rsid w:val="00F363F4"/>
    <w:rsid w:val="00F403CB"/>
    <w:rsid w:val="00F40E25"/>
    <w:rsid w:val="00F41868"/>
    <w:rsid w:val="00F423F0"/>
    <w:rsid w:val="00F42EE8"/>
    <w:rsid w:val="00F43244"/>
    <w:rsid w:val="00F44A96"/>
    <w:rsid w:val="00F50A8C"/>
    <w:rsid w:val="00F52D8E"/>
    <w:rsid w:val="00F557AA"/>
    <w:rsid w:val="00F55C08"/>
    <w:rsid w:val="00F62823"/>
    <w:rsid w:val="00F63C42"/>
    <w:rsid w:val="00F72939"/>
    <w:rsid w:val="00F74ABA"/>
    <w:rsid w:val="00F7549C"/>
    <w:rsid w:val="00F769CD"/>
    <w:rsid w:val="00F81020"/>
    <w:rsid w:val="00F81534"/>
    <w:rsid w:val="00F8324B"/>
    <w:rsid w:val="00F8486E"/>
    <w:rsid w:val="00F87095"/>
    <w:rsid w:val="00F9656D"/>
    <w:rsid w:val="00FA406B"/>
    <w:rsid w:val="00FA5AB7"/>
    <w:rsid w:val="00FA76E4"/>
    <w:rsid w:val="00FB5128"/>
    <w:rsid w:val="00FB7D19"/>
    <w:rsid w:val="00FC03FF"/>
    <w:rsid w:val="00FC0489"/>
    <w:rsid w:val="00FC45E4"/>
    <w:rsid w:val="00FC727D"/>
    <w:rsid w:val="00FC7D5E"/>
    <w:rsid w:val="00FD1886"/>
    <w:rsid w:val="00FD22A2"/>
    <w:rsid w:val="00FD2625"/>
    <w:rsid w:val="00FD61E4"/>
    <w:rsid w:val="00FD7333"/>
    <w:rsid w:val="00FD7AD4"/>
    <w:rsid w:val="00FE1936"/>
    <w:rsid w:val="00FE33B5"/>
    <w:rsid w:val="00FE4B62"/>
    <w:rsid w:val="00FE4BA4"/>
    <w:rsid w:val="00FE554C"/>
    <w:rsid w:val="00FF1BA4"/>
    <w:rsid w:val="00FF24AE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8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0BBE"/>
    <w:pPr>
      <w:ind w:left="720"/>
      <w:contextualSpacing/>
    </w:pPr>
  </w:style>
  <w:style w:type="table" w:styleId="Mriekatabuky">
    <w:name w:val="Table Grid"/>
    <w:basedOn w:val="Normlnatabuka"/>
    <w:uiPriority w:val="39"/>
    <w:rsid w:val="0069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F6ED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6EDC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6EDC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6ED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6E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6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hhpartners.eu</dc:creator>
  <cp:lastModifiedBy>HP023</cp:lastModifiedBy>
  <cp:revision>3</cp:revision>
  <dcterms:created xsi:type="dcterms:W3CDTF">2015-09-07T11:51:00Z</dcterms:created>
  <dcterms:modified xsi:type="dcterms:W3CDTF">2016-01-22T10:14:00Z</dcterms:modified>
</cp:coreProperties>
</file>